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F826FD" w14:textId="77777777" w:rsidR="0026117E" w:rsidRDefault="0026117E" w:rsidP="008441C9">
      <w:pPr>
        <w:widowControl/>
        <w:shd w:val="clear" w:color="auto" w:fill="FFFFFF"/>
        <w:spacing w:line="276" w:lineRule="auto"/>
        <w:jc w:val="center"/>
      </w:pPr>
    </w:p>
    <w:p w14:paraId="5B253E24" w14:textId="1066DB64" w:rsidR="007109E2" w:rsidRPr="007109E2" w:rsidRDefault="007109E2" w:rsidP="008441C9">
      <w:pPr>
        <w:spacing w:line="276" w:lineRule="auto"/>
        <w:rPr>
          <w:rFonts w:ascii="Tahoma" w:hAnsi="Tahoma" w:cs="Tahoma"/>
          <w:b/>
          <w:bCs/>
          <w:sz w:val="28"/>
          <w:szCs w:val="28"/>
          <w:lang w:val="cs-CZ"/>
        </w:rPr>
      </w:pPr>
      <w:r w:rsidRPr="007109E2">
        <w:rPr>
          <w:rFonts w:ascii="Tahoma" w:hAnsi="Tahoma" w:cs="Tahoma"/>
          <w:b/>
          <w:bCs/>
          <w:sz w:val="28"/>
          <w:szCs w:val="28"/>
          <w:lang w:val="cs-CZ"/>
        </w:rPr>
        <w:t>Karkulka prověřila efektivitu venkovní reklamy</w:t>
      </w:r>
    </w:p>
    <w:p w14:paraId="3FDFA2DF" w14:textId="600BEC59" w:rsidR="007109E2" w:rsidRPr="007109E2" w:rsidRDefault="007109E2" w:rsidP="008441C9">
      <w:pPr>
        <w:spacing w:line="276" w:lineRule="auto"/>
        <w:rPr>
          <w:rFonts w:ascii="Tahoma" w:hAnsi="Tahoma" w:cs="Tahoma"/>
          <w:b/>
          <w:bCs/>
          <w:sz w:val="28"/>
          <w:szCs w:val="28"/>
          <w:lang w:val="cs-CZ"/>
        </w:rPr>
      </w:pPr>
    </w:p>
    <w:p w14:paraId="3ECDDEEB" w14:textId="196AFE60" w:rsidR="007109E2" w:rsidRPr="007109E2" w:rsidRDefault="007109E2" w:rsidP="008441C9">
      <w:pPr>
        <w:spacing w:line="276" w:lineRule="auto"/>
        <w:rPr>
          <w:rFonts w:ascii="Tahoma" w:hAnsi="Tahoma" w:cs="Tahoma"/>
          <w:sz w:val="22"/>
          <w:szCs w:val="22"/>
          <w:lang w:val="cs-CZ"/>
        </w:rPr>
      </w:pPr>
      <w:r w:rsidRPr="007109E2">
        <w:rPr>
          <w:rFonts w:ascii="Tahoma" w:hAnsi="Tahoma" w:cs="Tahoma"/>
          <w:i/>
          <w:iCs/>
          <w:sz w:val="22"/>
          <w:szCs w:val="22"/>
          <w:lang w:val="cs-CZ"/>
        </w:rPr>
        <w:t>Praha, 11. listopadu 2021 –</w:t>
      </w:r>
      <w:r w:rsidRPr="007109E2">
        <w:rPr>
          <w:rFonts w:ascii="Tahoma" w:hAnsi="Tahoma" w:cs="Tahoma"/>
          <w:sz w:val="22"/>
          <w:szCs w:val="22"/>
          <w:lang w:val="cs-CZ"/>
        </w:rPr>
        <w:t xml:space="preserve"> </w:t>
      </w:r>
      <w:r w:rsidRPr="00EB3FE0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 xml:space="preserve">Všechno, co jste kdy chtěli vědět o </w:t>
      </w:r>
      <w:r w:rsidRPr="00EB3FE0">
        <w:rPr>
          <w:rFonts w:ascii="Tahoma" w:hAnsi="Tahoma" w:cs="Tahoma"/>
          <w:b/>
          <w:bCs/>
          <w:sz w:val="22"/>
          <w:szCs w:val="22"/>
          <w:lang w:val="cs-CZ"/>
        </w:rPr>
        <w:t>venkovní reklamě</w:t>
      </w:r>
      <w:r w:rsidRPr="00EB3FE0">
        <w:rPr>
          <w:rFonts w:ascii="Tahoma" w:hAnsi="Tahoma" w:cs="Tahoma"/>
          <w:b/>
          <w:bCs/>
          <w:color w:val="auto"/>
          <w:sz w:val="22"/>
          <w:szCs w:val="22"/>
          <w:lang w:val="cs-CZ"/>
        </w:rPr>
        <w:t xml:space="preserve"> (ale báli jste se zeptat)</w:t>
      </w:r>
      <w:r w:rsidRPr="00EB3FE0">
        <w:rPr>
          <w:rFonts w:ascii="Tahoma" w:hAnsi="Tahoma" w:cs="Tahoma"/>
          <w:b/>
          <w:bCs/>
          <w:sz w:val="22"/>
          <w:szCs w:val="22"/>
          <w:lang w:val="cs-CZ"/>
        </w:rPr>
        <w:t>, tak by se s troškou nadsázky a kosmetickou úpravou názvu známého filmu režiséra Woody Allena daly charakterizovat výsledky našeho nedávného průzkumu, ve kterém jsme</w:t>
      </w:r>
      <w:r w:rsidR="008339AF">
        <w:rPr>
          <w:rFonts w:ascii="Tahoma" w:hAnsi="Tahoma" w:cs="Tahoma"/>
          <w:b/>
          <w:bCs/>
          <w:sz w:val="22"/>
          <w:szCs w:val="22"/>
          <w:lang w:val="cs-CZ"/>
        </w:rPr>
        <w:t xml:space="preserve"> se</w:t>
      </w:r>
      <w:r w:rsidRPr="00EB3FE0">
        <w:rPr>
          <w:rFonts w:ascii="Tahoma" w:hAnsi="Tahoma" w:cs="Tahoma"/>
          <w:b/>
          <w:bCs/>
          <w:sz w:val="22"/>
          <w:szCs w:val="22"/>
          <w:lang w:val="cs-CZ"/>
        </w:rPr>
        <w:t xml:space="preserve"> ve spolupráci s komunikační společností GroupM poněkud netradičním způsobem snažili o srovnání efektivity venkovní a internetové reklamy.</w:t>
      </w:r>
      <w:r w:rsidRPr="007109E2">
        <w:rPr>
          <w:noProof/>
        </w:rPr>
        <w:t xml:space="preserve"> </w:t>
      </w:r>
    </w:p>
    <w:p w14:paraId="7650395E" w14:textId="2352A18C" w:rsidR="007109E2" w:rsidRPr="007109E2" w:rsidRDefault="007109E2" w:rsidP="008441C9">
      <w:pPr>
        <w:spacing w:line="276" w:lineRule="auto"/>
        <w:rPr>
          <w:rFonts w:ascii="Tahoma" w:hAnsi="Tahoma" w:cs="Tahoma"/>
          <w:sz w:val="22"/>
          <w:szCs w:val="22"/>
          <w:lang w:val="cs-CZ"/>
        </w:rPr>
      </w:pPr>
    </w:p>
    <w:p w14:paraId="7AEDB02A" w14:textId="72BF613B" w:rsidR="007109E2" w:rsidRPr="008339AF" w:rsidRDefault="007109E2" w:rsidP="008441C9">
      <w:pPr>
        <w:spacing w:line="276" w:lineRule="auto"/>
        <w:rPr>
          <w:rFonts w:ascii="Tahoma" w:hAnsi="Tahoma" w:cs="Tahoma"/>
          <w:sz w:val="22"/>
          <w:szCs w:val="22"/>
          <w:lang w:val="cs-CZ"/>
        </w:rPr>
      </w:pPr>
      <w:r w:rsidRPr="008339AF">
        <w:rPr>
          <w:noProof/>
          <w:sz w:val="22"/>
          <w:szCs w:val="22"/>
          <w:lang w:val="cs-CZ"/>
        </w:rPr>
        <w:drawing>
          <wp:anchor distT="0" distB="0" distL="114300" distR="114300" simplePos="0" relativeHeight="251658240" behindDoc="1" locked="0" layoutInCell="1" allowOverlap="1" wp14:anchorId="0864A6F7" wp14:editId="2C7210F8">
            <wp:simplePos x="0" y="0"/>
            <wp:positionH relativeFrom="column">
              <wp:posOffset>3522168</wp:posOffset>
            </wp:positionH>
            <wp:positionV relativeFrom="paragraph">
              <wp:posOffset>853059</wp:posOffset>
            </wp:positionV>
            <wp:extent cx="2452370" cy="3006725"/>
            <wp:effectExtent l="0" t="0" r="5080" b="3175"/>
            <wp:wrapTight wrapText="bothSides">
              <wp:wrapPolygon edited="0">
                <wp:start x="0" y="0"/>
                <wp:lineTo x="0" y="21486"/>
                <wp:lineTo x="21477" y="21486"/>
                <wp:lineTo x="21477" y="0"/>
                <wp:lineTo x="0" y="0"/>
              </wp:wrapPolygon>
            </wp:wrapTight>
            <wp:docPr id="15" name="Obrázek 14" descr="Obsah obrázku text, exteriér, strom, obloh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6E151F-BC3D-4438-A06F-7B612196B9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4" descr="Obsah obrázku text, exteriér, strom, obloha&#10;&#10;Popis byl vytvořen automaticky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6E151F-BC3D-4438-A06F-7B612196B9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3" r="6880"/>
                    <a:stretch/>
                  </pic:blipFill>
                  <pic:spPr bwMode="auto">
                    <a:xfrm>
                      <a:off x="0" y="0"/>
                      <a:ext cx="2452370" cy="300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9AF">
        <w:rPr>
          <w:rFonts w:ascii="Tahoma" w:hAnsi="Tahoma" w:cs="Tahoma"/>
          <w:sz w:val="22"/>
          <w:szCs w:val="22"/>
          <w:lang w:val="cs-CZ"/>
        </w:rPr>
        <w:t xml:space="preserve">Jedním z hlavních cílů tohoto průzkumu bylo přinést odpověď na otázku, </w:t>
      </w:r>
      <w:r w:rsidR="00787C64">
        <w:rPr>
          <w:rFonts w:ascii="Tahoma" w:hAnsi="Tahoma" w:cs="Tahoma"/>
          <w:sz w:val="22"/>
          <w:szCs w:val="22"/>
          <w:lang w:val="cs-CZ"/>
        </w:rPr>
        <w:t xml:space="preserve">jak </w:t>
      </w:r>
      <w:r w:rsidR="00363FEB">
        <w:rPr>
          <w:rFonts w:ascii="Tahoma" w:hAnsi="Tahoma" w:cs="Tahoma"/>
          <w:sz w:val="22"/>
          <w:szCs w:val="22"/>
          <w:lang w:val="cs-CZ"/>
        </w:rPr>
        <w:t>účinná</w:t>
      </w:r>
      <w:r w:rsidR="00787C64">
        <w:rPr>
          <w:rFonts w:ascii="Tahoma" w:hAnsi="Tahoma" w:cs="Tahoma"/>
          <w:sz w:val="22"/>
          <w:szCs w:val="22"/>
          <w:lang w:val="cs-CZ"/>
        </w:rPr>
        <w:t xml:space="preserve"> je </w:t>
      </w:r>
      <w:proofErr w:type="spellStart"/>
      <w:r w:rsidR="00787C64">
        <w:rPr>
          <w:rFonts w:ascii="Tahoma" w:hAnsi="Tahoma" w:cs="Tahoma"/>
          <w:sz w:val="22"/>
          <w:szCs w:val="22"/>
          <w:lang w:val="cs-CZ"/>
        </w:rPr>
        <w:t>outdoorová</w:t>
      </w:r>
      <w:proofErr w:type="spellEnd"/>
      <w:r w:rsidR="00787C64">
        <w:rPr>
          <w:rFonts w:ascii="Tahoma" w:hAnsi="Tahoma" w:cs="Tahoma"/>
          <w:sz w:val="22"/>
          <w:szCs w:val="22"/>
          <w:lang w:val="cs-CZ"/>
        </w:rPr>
        <w:t xml:space="preserve"> reklama na CLV plochách a </w:t>
      </w:r>
      <w:r w:rsidRPr="008339AF">
        <w:rPr>
          <w:rFonts w:ascii="Tahoma" w:hAnsi="Tahoma" w:cs="Tahoma"/>
          <w:sz w:val="22"/>
          <w:szCs w:val="22"/>
          <w:lang w:val="cs-CZ"/>
        </w:rPr>
        <w:t xml:space="preserve">zda lze prostřednictvím </w:t>
      </w:r>
      <w:r w:rsidR="00787C64">
        <w:rPr>
          <w:rFonts w:ascii="Tahoma" w:hAnsi="Tahoma" w:cs="Tahoma"/>
          <w:sz w:val="22"/>
          <w:szCs w:val="22"/>
          <w:lang w:val="cs-CZ"/>
        </w:rPr>
        <w:t xml:space="preserve">takovéto </w:t>
      </w:r>
      <w:r w:rsidRPr="008339AF">
        <w:rPr>
          <w:rFonts w:ascii="Tahoma" w:hAnsi="Tahoma" w:cs="Tahoma"/>
          <w:sz w:val="22"/>
          <w:szCs w:val="22"/>
          <w:lang w:val="cs-CZ"/>
        </w:rPr>
        <w:t xml:space="preserve">venkovní komunikační kampaně </w:t>
      </w:r>
      <w:r w:rsidR="00787C64">
        <w:rPr>
          <w:rFonts w:ascii="Tahoma" w:hAnsi="Tahoma" w:cs="Tahoma"/>
          <w:sz w:val="22"/>
          <w:szCs w:val="22"/>
          <w:lang w:val="cs-CZ"/>
        </w:rPr>
        <w:t>smysluplně a efektivně podpořit či vybudovat značku</w:t>
      </w:r>
      <w:r w:rsidRPr="008339AF">
        <w:rPr>
          <w:rFonts w:ascii="Tahoma" w:hAnsi="Tahoma" w:cs="Tahoma"/>
          <w:sz w:val="22"/>
          <w:szCs w:val="22"/>
          <w:lang w:val="cs-CZ"/>
        </w:rPr>
        <w:t xml:space="preserve">. 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 xml:space="preserve">„Ve snaze přinést maximálně objektivní výsledky jsme pro tento projekt využili koncept tzv. virtuální značky, tj. značky, která reálně neexistuje a má </w:t>
      </w:r>
      <w:r w:rsidR="00363FEB">
        <w:rPr>
          <w:rFonts w:ascii="Tahoma" w:hAnsi="Tahoma" w:cs="Tahoma"/>
          <w:i/>
          <w:iCs/>
          <w:sz w:val="22"/>
          <w:szCs w:val="22"/>
          <w:lang w:val="cs-CZ"/>
        </w:rPr>
        <w:t xml:space="preserve">tudíž 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 xml:space="preserve">nulovou výchozí znalost. </w:t>
      </w:r>
      <w:r w:rsidR="00363FEB">
        <w:rPr>
          <w:rFonts w:ascii="Tahoma" w:hAnsi="Tahoma" w:cs="Tahoma"/>
          <w:i/>
          <w:iCs/>
          <w:sz w:val="22"/>
          <w:szCs w:val="22"/>
          <w:lang w:val="cs-CZ"/>
        </w:rPr>
        <w:t>Tímto způsobem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 xml:space="preserve"> dokážeme spolehlivě </w:t>
      </w:r>
      <w:r w:rsidR="00E06979">
        <w:rPr>
          <w:rFonts w:ascii="Tahoma" w:hAnsi="Tahoma" w:cs="Tahoma"/>
          <w:i/>
          <w:iCs/>
          <w:sz w:val="22"/>
          <w:szCs w:val="22"/>
          <w:lang w:val="cs-CZ"/>
        </w:rPr>
        <w:t>říci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 xml:space="preserve">, že </w:t>
      </w:r>
      <w:r w:rsidR="00E06979">
        <w:rPr>
          <w:rFonts w:ascii="Tahoma" w:hAnsi="Tahoma" w:cs="Tahoma"/>
          <w:i/>
          <w:iCs/>
          <w:sz w:val="22"/>
          <w:szCs w:val="22"/>
          <w:lang w:val="cs-CZ"/>
        </w:rPr>
        <w:t>zjištěný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 xml:space="preserve"> efekt je </w:t>
      </w:r>
      <w:r w:rsidR="00363FEB">
        <w:rPr>
          <w:rFonts w:ascii="Tahoma" w:hAnsi="Tahoma" w:cs="Tahoma"/>
          <w:i/>
          <w:iCs/>
          <w:sz w:val="22"/>
          <w:szCs w:val="22"/>
          <w:lang w:val="cs-CZ"/>
        </w:rPr>
        <w:t>jednoznačně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 xml:space="preserve"> výsledkem dané komunikační kampaně. Naším f</w:t>
      </w:r>
      <w:r w:rsidR="00787C64">
        <w:rPr>
          <w:rFonts w:ascii="Tahoma" w:hAnsi="Tahoma" w:cs="Tahoma"/>
          <w:i/>
          <w:iCs/>
          <w:sz w:val="22"/>
          <w:szCs w:val="22"/>
          <w:lang w:val="cs-CZ"/>
        </w:rPr>
        <w:t xml:space="preserve">iktivním produktem se po 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 xml:space="preserve">dlouhých úvahách </w:t>
      </w:r>
      <w:r w:rsidR="00787C64">
        <w:rPr>
          <w:rFonts w:ascii="Tahoma" w:hAnsi="Tahoma" w:cs="Tahoma"/>
          <w:i/>
          <w:iCs/>
          <w:sz w:val="22"/>
          <w:szCs w:val="22"/>
          <w:lang w:val="cs-CZ"/>
        </w:rPr>
        <w:t xml:space="preserve">stala </w:t>
      </w:r>
      <w:r w:rsidRPr="008339AF">
        <w:rPr>
          <w:rFonts w:ascii="Tahoma" w:hAnsi="Tahoma" w:cs="Tahoma"/>
          <w:i/>
          <w:iCs/>
          <w:sz w:val="22"/>
          <w:szCs w:val="22"/>
          <w:lang w:val="cs-CZ"/>
        </w:rPr>
        <w:t>Karkulka, námi vytvořená značka pohádkově lahodných jogurtů s kouzelnými příchutěmi,“</w:t>
      </w:r>
      <w:r w:rsidR="00787C64">
        <w:rPr>
          <w:rFonts w:ascii="Tahoma" w:hAnsi="Tahoma" w:cs="Tahoma"/>
          <w:sz w:val="22"/>
          <w:szCs w:val="22"/>
          <w:lang w:val="cs-CZ"/>
        </w:rPr>
        <w:t xml:space="preserve"> popisuje základní myšlenku výzkumného projektu</w:t>
      </w:r>
      <w:r w:rsidRPr="008339AF">
        <w:rPr>
          <w:rFonts w:ascii="Tahoma" w:hAnsi="Tahoma" w:cs="Tahoma"/>
          <w:sz w:val="22"/>
          <w:szCs w:val="22"/>
          <w:lang w:val="cs-CZ"/>
        </w:rPr>
        <w:t xml:space="preserve"> obchodní ředitel euroAWK Aleš Jeřábek. Komunikační kampaň </w:t>
      </w:r>
      <w:r w:rsidR="00363FEB">
        <w:rPr>
          <w:rFonts w:ascii="Tahoma" w:hAnsi="Tahoma" w:cs="Tahoma"/>
          <w:sz w:val="22"/>
          <w:szCs w:val="22"/>
          <w:lang w:val="cs-CZ"/>
        </w:rPr>
        <w:t>proběhla</w:t>
      </w:r>
      <w:r w:rsidRPr="008339AF">
        <w:rPr>
          <w:rFonts w:ascii="Tahoma" w:hAnsi="Tahoma" w:cs="Tahoma"/>
          <w:sz w:val="22"/>
          <w:szCs w:val="22"/>
          <w:lang w:val="cs-CZ"/>
        </w:rPr>
        <w:t xml:space="preserve"> v průběhu měsíce července na 70 </w:t>
      </w:r>
      <w:proofErr w:type="spellStart"/>
      <w:r w:rsidRPr="008339AF">
        <w:rPr>
          <w:rFonts w:ascii="Tahoma" w:hAnsi="Tahoma" w:cs="Tahoma"/>
          <w:sz w:val="22"/>
          <w:szCs w:val="22"/>
          <w:lang w:val="cs-CZ"/>
        </w:rPr>
        <w:t>citylight</w:t>
      </w:r>
      <w:proofErr w:type="spellEnd"/>
      <w:r w:rsidRPr="008339AF">
        <w:rPr>
          <w:rFonts w:ascii="Tahoma" w:hAnsi="Tahoma" w:cs="Tahoma"/>
          <w:sz w:val="22"/>
          <w:szCs w:val="22"/>
          <w:lang w:val="cs-CZ"/>
        </w:rPr>
        <w:t xml:space="preserve"> vitrínách (CLV) společnosti euroAWK v jihomoravské metropoli Brně.   </w:t>
      </w:r>
    </w:p>
    <w:p w14:paraId="1D6FAE31" w14:textId="77777777" w:rsidR="007109E2" w:rsidRPr="007109E2" w:rsidRDefault="007109E2" w:rsidP="008441C9">
      <w:pPr>
        <w:spacing w:line="276" w:lineRule="auto"/>
        <w:rPr>
          <w:rFonts w:ascii="Tahoma" w:hAnsi="Tahoma" w:cs="Tahoma"/>
          <w:sz w:val="22"/>
          <w:szCs w:val="22"/>
          <w:lang w:val="cs-CZ"/>
        </w:rPr>
      </w:pPr>
    </w:p>
    <w:p w14:paraId="0B8C3073" w14:textId="74F10E8A" w:rsidR="007109E2" w:rsidRPr="008339AF" w:rsidRDefault="007109E2" w:rsidP="008441C9">
      <w:pPr>
        <w:spacing w:line="276" w:lineRule="auto"/>
        <w:rPr>
          <w:rFonts w:ascii="Tahoma" w:hAnsi="Tahoma" w:cs="Tahoma"/>
          <w:sz w:val="22"/>
          <w:szCs w:val="22"/>
          <w:lang w:val="cs-CZ"/>
        </w:rPr>
      </w:pPr>
      <w:r w:rsidRPr="008339AF">
        <w:rPr>
          <w:rFonts w:ascii="Tahoma" w:hAnsi="Tahoma" w:cs="Tahoma"/>
          <w:sz w:val="22"/>
          <w:szCs w:val="22"/>
          <w:lang w:val="cs-CZ"/>
        </w:rPr>
        <w:t xml:space="preserve">Po skončení kampaně proběhl online dotazníkový výzkum na reprezentativním vzorku téměř 390 obyvatel Brna. </w:t>
      </w:r>
      <w:r w:rsidR="001D3F18" w:rsidRPr="008339AF">
        <w:rPr>
          <w:rFonts w:ascii="Tahoma" w:hAnsi="Tahoma" w:cs="Tahoma"/>
          <w:sz w:val="22"/>
          <w:szCs w:val="22"/>
          <w:lang w:val="cs-CZ"/>
        </w:rPr>
        <w:t xml:space="preserve">Podpořená znalost značky dosáhla hodnoty 11 %. </w:t>
      </w:r>
      <w:r w:rsidRPr="008339AF">
        <w:rPr>
          <w:rFonts w:ascii="Tahoma" w:hAnsi="Tahoma" w:cs="Tahoma"/>
          <w:sz w:val="22"/>
          <w:szCs w:val="22"/>
          <w:lang w:val="cs-CZ"/>
        </w:rPr>
        <w:t>Po konfrontaci respondentů s vizuálem CLV kampaně rozpoznalo značku 18 % z nich. Polovina z těchto lidí pak správně uvedla, že zaznamenala kampaň na značku Karkulka</w:t>
      </w:r>
      <w:r w:rsidR="00787C64">
        <w:rPr>
          <w:rFonts w:ascii="Tahoma" w:hAnsi="Tahoma" w:cs="Tahoma"/>
          <w:sz w:val="22"/>
          <w:szCs w:val="22"/>
          <w:lang w:val="cs-CZ"/>
        </w:rPr>
        <w:t xml:space="preserve"> právě na</w:t>
      </w:r>
      <w:r w:rsidR="00787C64" w:rsidRPr="00787C64">
        <w:rPr>
          <w:rFonts w:ascii="Tahoma" w:hAnsi="Tahoma" w:cs="Tahoma"/>
          <w:sz w:val="22"/>
          <w:szCs w:val="22"/>
          <w:lang w:val="cs-CZ"/>
        </w:rPr>
        <w:t xml:space="preserve"> </w:t>
      </w:r>
      <w:r w:rsidR="00787C64" w:rsidRPr="008339AF">
        <w:rPr>
          <w:rFonts w:ascii="Tahoma" w:hAnsi="Tahoma" w:cs="Tahoma"/>
          <w:sz w:val="22"/>
          <w:szCs w:val="22"/>
          <w:lang w:val="cs-CZ"/>
        </w:rPr>
        <w:t>venkovní</w:t>
      </w:r>
      <w:r w:rsidR="00787C64">
        <w:rPr>
          <w:rFonts w:ascii="Tahoma" w:hAnsi="Tahoma" w:cs="Tahoma"/>
          <w:sz w:val="22"/>
          <w:szCs w:val="22"/>
          <w:lang w:val="cs-CZ"/>
        </w:rPr>
        <w:t>ch CLV plochách</w:t>
      </w:r>
      <w:r w:rsidRPr="008339AF">
        <w:rPr>
          <w:rFonts w:ascii="Tahoma" w:hAnsi="Tahoma" w:cs="Tahoma"/>
          <w:sz w:val="22"/>
          <w:szCs w:val="22"/>
          <w:lang w:val="cs-CZ"/>
        </w:rPr>
        <w:t xml:space="preserve">. A dokonce celých 60 % lidí z těch, kteří uvedli, že kampaň zaznamenali, korektně popsalo komunikovaný vizuál. </w:t>
      </w:r>
    </w:p>
    <w:p w14:paraId="51882007" w14:textId="77777777" w:rsidR="007109E2" w:rsidRPr="007109E2" w:rsidRDefault="007109E2" w:rsidP="008441C9">
      <w:pPr>
        <w:spacing w:line="276" w:lineRule="auto"/>
        <w:rPr>
          <w:rFonts w:ascii="Tahoma" w:hAnsi="Tahoma" w:cs="Tahoma"/>
          <w:sz w:val="22"/>
          <w:szCs w:val="22"/>
          <w:lang w:val="cs-CZ"/>
        </w:rPr>
      </w:pPr>
    </w:p>
    <w:p w14:paraId="1C2B628D" w14:textId="10D72B8A" w:rsidR="007109E2" w:rsidRPr="008441C9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 w:rsidRPr="008441C9">
        <w:rPr>
          <w:rFonts w:ascii="Tahoma" w:hAnsi="Tahoma" w:cs="Tahoma"/>
          <w:sz w:val="22"/>
          <w:szCs w:val="22"/>
          <w:lang w:val="cs-CZ"/>
        </w:rPr>
        <w:t>Aby mohly být tyto výsledky zasazeny do určitého kontextu a sr</w:t>
      </w:r>
      <w:r w:rsidR="001D3F18">
        <w:rPr>
          <w:rFonts w:ascii="Tahoma" w:hAnsi="Tahoma" w:cs="Tahoma"/>
          <w:sz w:val="22"/>
          <w:szCs w:val="22"/>
          <w:lang w:val="cs-CZ"/>
        </w:rPr>
        <w:t>ovnány s internetovou reklamou (</w:t>
      </w:r>
      <w:r w:rsidR="00787C64">
        <w:rPr>
          <w:rFonts w:ascii="Tahoma" w:hAnsi="Tahoma" w:cs="Tahoma"/>
          <w:sz w:val="22"/>
          <w:szCs w:val="22"/>
          <w:lang w:val="cs-CZ"/>
        </w:rPr>
        <w:t>která dnes napadne každého jako jedna z prvních možností komunikace</w:t>
      </w:r>
      <w:r w:rsidR="001D3F18">
        <w:rPr>
          <w:rFonts w:ascii="Tahoma" w:hAnsi="Tahoma" w:cs="Tahoma"/>
          <w:sz w:val="22"/>
          <w:szCs w:val="22"/>
          <w:lang w:val="cs-CZ"/>
        </w:rPr>
        <w:t>)</w:t>
      </w:r>
      <w:r w:rsidR="00787C64">
        <w:rPr>
          <w:rFonts w:ascii="Tahoma" w:hAnsi="Tahoma" w:cs="Tahoma"/>
          <w:sz w:val="22"/>
          <w:szCs w:val="22"/>
          <w:lang w:val="cs-CZ"/>
        </w:rPr>
        <w:t xml:space="preserve"> </w:t>
      </w:r>
      <w:r w:rsidR="008441C9">
        <w:rPr>
          <w:rFonts w:ascii="Tahoma" w:hAnsi="Tahoma" w:cs="Tahoma"/>
          <w:sz w:val="22"/>
          <w:szCs w:val="22"/>
          <w:lang w:val="cs-CZ"/>
        </w:rPr>
        <w:t>proběhla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současně také obdob</w:t>
      </w:r>
      <w:r w:rsidR="008441C9">
        <w:rPr>
          <w:rFonts w:ascii="Tahoma" w:hAnsi="Tahoma" w:cs="Tahoma"/>
          <w:sz w:val="22"/>
          <w:szCs w:val="22"/>
          <w:lang w:val="cs-CZ"/>
        </w:rPr>
        <w:t>ná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online bannerov</w:t>
      </w:r>
      <w:r w:rsidR="008441C9">
        <w:rPr>
          <w:rFonts w:ascii="Tahoma" w:hAnsi="Tahoma" w:cs="Tahoma"/>
          <w:sz w:val="22"/>
          <w:szCs w:val="22"/>
          <w:lang w:val="cs-CZ"/>
        </w:rPr>
        <w:t>á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kampaň. Pro </w:t>
      </w:r>
      <w:r w:rsidR="008441C9">
        <w:rPr>
          <w:rFonts w:ascii="Tahoma" w:hAnsi="Tahoma" w:cs="Tahoma"/>
          <w:sz w:val="22"/>
          <w:szCs w:val="22"/>
          <w:lang w:val="cs-CZ"/>
        </w:rPr>
        <w:t>tu byla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vybr</w:t>
      </w:r>
      <w:r w:rsidR="008441C9">
        <w:rPr>
          <w:rFonts w:ascii="Tahoma" w:hAnsi="Tahoma" w:cs="Tahoma"/>
          <w:sz w:val="22"/>
          <w:szCs w:val="22"/>
          <w:lang w:val="cs-CZ"/>
        </w:rPr>
        <w:t>ána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dvě města, která v součtu přibližně odpovídají veliko</w:t>
      </w:r>
      <w:r w:rsidR="001D3F18">
        <w:rPr>
          <w:rFonts w:ascii="Tahoma" w:hAnsi="Tahoma" w:cs="Tahoma"/>
          <w:sz w:val="22"/>
          <w:szCs w:val="22"/>
          <w:lang w:val="cs-CZ"/>
        </w:rPr>
        <w:t xml:space="preserve">sti populace </w:t>
      </w:r>
      <w:proofErr w:type="gramStart"/>
      <w:r w:rsidR="001D3F18">
        <w:rPr>
          <w:rFonts w:ascii="Tahoma" w:hAnsi="Tahoma" w:cs="Tahoma"/>
          <w:sz w:val="22"/>
          <w:szCs w:val="22"/>
          <w:lang w:val="cs-CZ"/>
        </w:rPr>
        <w:t>Brna a sice</w:t>
      </w:r>
      <w:proofErr w:type="gramEnd"/>
      <w:r w:rsidR="001D3F18">
        <w:rPr>
          <w:rFonts w:ascii="Tahoma" w:hAnsi="Tahoma" w:cs="Tahoma"/>
          <w:sz w:val="22"/>
          <w:szCs w:val="22"/>
          <w:lang w:val="cs-CZ"/>
        </w:rPr>
        <w:t xml:space="preserve"> Ostrava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a Liberec. Města jsou zároveň dostatečně daleko od Brna, aby</w:t>
      </w:r>
      <w:r w:rsidR="008441C9">
        <w:rPr>
          <w:rFonts w:ascii="Tahoma" w:hAnsi="Tahoma" w:cs="Tahoma"/>
          <w:sz w:val="22"/>
          <w:szCs w:val="22"/>
          <w:lang w:val="cs-CZ"/>
        </w:rPr>
        <w:t xml:space="preserve"> se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zamezil</w:t>
      </w:r>
      <w:r w:rsidR="008441C9">
        <w:rPr>
          <w:rFonts w:ascii="Tahoma" w:hAnsi="Tahoma" w:cs="Tahoma"/>
          <w:sz w:val="22"/>
          <w:szCs w:val="22"/>
          <w:lang w:val="cs-CZ"/>
        </w:rPr>
        <w:t>o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překryvu obou kampaní. Na online bannerech pak</w:t>
      </w:r>
      <w:r w:rsidR="008441C9">
        <w:rPr>
          <w:rFonts w:ascii="Tahoma" w:hAnsi="Tahoma" w:cs="Tahoma"/>
          <w:sz w:val="22"/>
          <w:szCs w:val="22"/>
          <w:lang w:val="cs-CZ"/>
        </w:rPr>
        <w:t xml:space="preserve"> byl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použi</w:t>
      </w:r>
      <w:r w:rsidR="008441C9">
        <w:rPr>
          <w:rFonts w:ascii="Tahoma" w:hAnsi="Tahoma" w:cs="Tahoma"/>
          <w:sz w:val="22"/>
          <w:szCs w:val="22"/>
          <w:lang w:val="cs-CZ"/>
        </w:rPr>
        <w:t>t</w:t>
      </w:r>
      <w:r w:rsidRPr="008441C9">
        <w:rPr>
          <w:rFonts w:ascii="Tahoma" w:hAnsi="Tahoma" w:cs="Tahoma"/>
          <w:sz w:val="22"/>
          <w:szCs w:val="22"/>
          <w:lang w:val="cs-CZ"/>
        </w:rPr>
        <w:t xml:space="preserve"> identický vizuál</w:t>
      </w:r>
      <w:r w:rsidR="008441C9">
        <w:rPr>
          <w:rFonts w:ascii="Tahoma" w:hAnsi="Tahoma" w:cs="Tahoma"/>
          <w:sz w:val="22"/>
          <w:szCs w:val="22"/>
          <w:lang w:val="cs-CZ"/>
        </w:rPr>
        <w:t xml:space="preserve"> jako při venkovní kampani</w:t>
      </w:r>
      <w:r w:rsidRPr="008441C9">
        <w:rPr>
          <w:rFonts w:ascii="Tahoma" w:hAnsi="Tahoma" w:cs="Tahoma"/>
          <w:sz w:val="22"/>
          <w:szCs w:val="22"/>
          <w:lang w:val="cs-CZ"/>
        </w:rPr>
        <w:t>, pouze přizpůsobený různým bannerovým formátům.</w:t>
      </w:r>
    </w:p>
    <w:p w14:paraId="63572910" w14:textId="77777777" w:rsidR="007109E2" w:rsidRPr="007109E2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</w:p>
    <w:p w14:paraId="47708C98" w14:textId="153A3CC0" w:rsidR="007109E2" w:rsidRPr="008441C9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 w:rsidRPr="008441C9">
        <w:rPr>
          <w:rFonts w:ascii="Tahoma" w:hAnsi="Tahoma" w:cs="Tahoma"/>
          <w:sz w:val="22"/>
          <w:szCs w:val="22"/>
          <w:lang w:val="cs-CZ"/>
        </w:rPr>
        <w:t xml:space="preserve">Určitou výzvou bylo nastavení online kampaně tak, aby se nejvíce podobala charakteru probíhající CLV kampaně, se kterou mohl přijít do kontaktu prakticky každý obyvatel jihomoravské metropole. </w:t>
      </w:r>
      <w:r w:rsidRPr="008441C9">
        <w:rPr>
          <w:rFonts w:ascii="Tahoma" w:hAnsi="Tahoma" w:cs="Tahoma"/>
          <w:i/>
          <w:iCs/>
          <w:sz w:val="22"/>
          <w:szCs w:val="22"/>
          <w:lang w:val="cs-CZ"/>
        </w:rPr>
        <w:t xml:space="preserve">„Maximalizovali jsme tedy její zásah s omezením frekvence na </w:t>
      </w:r>
      <w:r w:rsidR="008441C9">
        <w:rPr>
          <w:rFonts w:ascii="Tahoma" w:hAnsi="Tahoma" w:cs="Tahoma"/>
          <w:i/>
          <w:iCs/>
          <w:sz w:val="22"/>
          <w:szCs w:val="22"/>
          <w:lang w:val="cs-CZ"/>
        </w:rPr>
        <w:t>dva</w:t>
      </w:r>
      <w:r w:rsidRPr="008441C9">
        <w:rPr>
          <w:rFonts w:ascii="Tahoma" w:hAnsi="Tahoma" w:cs="Tahoma"/>
          <w:i/>
          <w:iCs/>
          <w:sz w:val="22"/>
          <w:szCs w:val="22"/>
          <w:lang w:val="cs-CZ"/>
        </w:rPr>
        <w:t xml:space="preserve"> kontakty denně. A stejně jako </w:t>
      </w:r>
      <w:r w:rsidRPr="008441C9">
        <w:rPr>
          <w:rFonts w:ascii="Tahoma" w:hAnsi="Tahoma" w:cs="Tahoma"/>
          <w:i/>
          <w:iCs/>
          <w:sz w:val="22"/>
          <w:szCs w:val="22"/>
          <w:lang w:val="cs-CZ"/>
        </w:rPr>
        <w:lastRenderedPageBreak/>
        <w:t xml:space="preserve">obyvatele Brna jsme na konci měsíce dotazníkem oslovili i respondenty z Ostravy a Liberce. Výsledky jsme následně přepočetli na celou, nikoli pouze online populaci obou měst a na ekvivalentní zásah CLV kampaně tak, aby srovnání bylo maximálně korektní. Celková znalost značky Karkulka mezi respondenty Ostravy a Liberce dosáhla </w:t>
      </w:r>
      <w:r w:rsidR="001D3F18">
        <w:rPr>
          <w:rFonts w:ascii="Tahoma" w:hAnsi="Tahoma" w:cs="Tahoma"/>
          <w:i/>
          <w:iCs/>
          <w:sz w:val="22"/>
          <w:szCs w:val="22"/>
          <w:lang w:val="cs-CZ"/>
        </w:rPr>
        <w:t xml:space="preserve">pouze </w:t>
      </w:r>
      <w:r w:rsidRPr="008441C9">
        <w:rPr>
          <w:rFonts w:ascii="Tahoma" w:hAnsi="Tahoma" w:cs="Tahoma"/>
          <w:i/>
          <w:iCs/>
          <w:sz w:val="22"/>
          <w:szCs w:val="22"/>
          <w:lang w:val="cs-CZ"/>
        </w:rPr>
        <w:t>8 %, tj. o tři procentní body méně než CLV kampaň,</w:t>
      </w:r>
      <w:r w:rsidR="008441C9">
        <w:rPr>
          <w:rFonts w:ascii="Tahoma" w:hAnsi="Tahoma" w:cs="Tahoma"/>
          <w:i/>
          <w:iCs/>
          <w:sz w:val="22"/>
          <w:szCs w:val="22"/>
          <w:lang w:val="cs-CZ"/>
        </w:rPr>
        <w:t>"</w:t>
      </w:r>
      <w:r w:rsidRPr="008441C9">
        <w:rPr>
          <w:rFonts w:ascii="Tahoma" w:hAnsi="Tahoma" w:cs="Tahoma"/>
          <w:i/>
          <w:iCs/>
          <w:sz w:val="22"/>
          <w:szCs w:val="22"/>
          <w:lang w:val="cs-CZ"/>
        </w:rPr>
        <w:t xml:space="preserve"> </w:t>
      </w:r>
      <w:r w:rsidRPr="008441C9">
        <w:rPr>
          <w:rFonts w:ascii="Tahoma" w:hAnsi="Tahoma" w:cs="Tahoma"/>
          <w:sz w:val="22"/>
          <w:szCs w:val="22"/>
          <w:lang w:val="cs-CZ"/>
        </w:rPr>
        <w:t>komentuje výsledky kampaně Jiří Udatný, Data &amp; Analytics Director ze společnosti GroupM.</w:t>
      </w:r>
    </w:p>
    <w:p w14:paraId="278C34FD" w14:textId="77777777" w:rsidR="007109E2" w:rsidRPr="007109E2" w:rsidRDefault="007109E2" w:rsidP="008441C9">
      <w:pPr>
        <w:spacing w:line="276" w:lineRule="auto"/>
        <w:jc w:val="both"/>
        <w:rPr>
          <w:lang w:val="cs-CZ"/>
        </w:rPr>
      </w:pPr>
    </w:p>
    <w:p w14:paraId="6B838AFE" w14:textId="30781B06" w:rsidR="007109E2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</w:p>
    <w:p w14:paraId="0AB18CA0" w14:textId="19ACB5CF" w:rsidR="007109E2" w:rsidRDefault="007109E2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 w:rsidRPr="007109E2">
        <w:rPr>
          <w:rFonts w:ascii="Tahoma" w:hAnsi="Tahoma" w:cs="Tahoma"/>
          <w:b/>
          <w:bCs/>
          <w:sz w:val="22"/>
          <w:szCs w:val="22"/>
          <w:lang w:val="cs-CZ"/>
        </w:rPr>
        <w:t>Základní výsledky průzkumu:</w:t>
      </w:r>
    </w:p>
    <w:p w14:paraId="11C7939A" w14:textId="307646C6" w:rsidR="007109E2" w:rsidRDefault="007109E2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4485ECE0" w14:textId="512275BE" w:rsidR="007109E2" w:rsidRDefault="007109E2" w:rsidP="008441C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 w:rsidRPr="00E95A2D">
        <w:rPr>
          <w:rFonts w:ascii="Tahoma" w:hAnsi="Tahoma" w:cs="Tahoma"/>
          <w:b/>
          <w:bCs/>
          <w:sz w:val="22"/>
          <w:szCs w:val="22"/>
          <w:lang w:val="cs-CZ"/>
        </w:rPr>
        <w:t>Podpořená znalost značky v rámci CLV kampaně: 11 %</w:t>
      </w:r>
    </w:p>
    <w:p w14:paraId="0A0011DB" w14:textId="30FF38B1" w:rsidR="00EB3FE0" w:rsidRDefault="00EB3FE0" w:rsidP="008441C9">
      <w:pPr>
        <w:spacing w:line="276" w:lineRule="auto"/>
        <w:ind w:firstLine="360"/>
        <w:jc w:val="both"/>
        <w:rPr>
          <w:rFonts w:ascii="Tahoma" w:hAnsi="Tahoma" w:cs="Tahoma"/>
          <w:sz w:val="22"/>
          <w:szCs w:val="22"/>
          <w:lang w:val="cs-CZ"/>
        </w:rPr>
      </w:pPr>
      <w:r w:rsidRPr="00EB3FE0">
        <w:rPr>
          <w:rFonts w:ascii="Tahoma" w:hAnsi="Tahoma" w:cs="Tahoma"/>
          <w:sz w:val="22"/>
          <w:szCs w:val="22"/>
          <w:lang w:val="cs-CZ"/>
        </w:rPr>
        <w:t xml:space="preserve">(obecná populace ve věku </w:t>
      </w:r>
      <w:r w:rsidRPr="00EB3FE0">
        <w:rPr>
          <w:rFonts w:ascii="Tahoma" w:eastAsia="Arial Unicode MS" w:hAnsi="Tahoma" w:cs="Tahoma"/>
          <w:sz w:val="22"/>
          <w:szCs w:val="22"/>
          <w:lang w:val="cs-CZ"/>
        </w:rPr>
        <w:t>15</w:t>
      </w:r>
      <w:r w:rsidRPr="00EB3FE0">
        <w:rPr>
          <w:rFonts w:ascii="Tahoma" w:hAnsi="Tahoma" w:cs="Tahoma"/>
          <w:sz w:val="22"/>
          <w:szCs w:val="22"/>
          <w:lang w:val="cs-CZ"/>
        </w:rPr>
        <w:t xml:space="preserve"> až </w:t>
      </w:r>
      <w:r w:rsidRPr="00EB3FE0">
        <w:rPr>
          <w:rFonts w:ascii="Tahoma" w:eastAsia="Arial Unicode MS" w:hAnsi="Tahoma" w:cs="Tahoma"/>
          <w:sz w:val="22"/>
          <w:szCs w:val="22"/>
          <w:lang w:val="cs-CZ"/>
        </w:rPr>
        <w:t>64 let</w:t>
      </w:r>
      <w:r w:rsidRPr="00EB3FE0">
        <w:rPr>
          <w:rFonts w:ascii="Tahoma" w:hAnsi="Tahoma" w:cs="Tahoma"/>
          <w:sz w:val="22"/>
          <w:szCs w:val="22"/>
          <w:lang w:val="cs-CZ"/>
        </w:rPr>
        <w:t>)</w:t>
      </w:r>
    </w:p>
    <w:p w14:paraId="06F0497B" w14:textId="68B08996" w:rsidR="00EB3FE0" w:rsidRPr="001D3F18" w:rsidRDefault="00E06979" w:rsidP="008441C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R</w:t>
      </w:r>
      <w:r w:rsidR="00EB3FE0">
        <w:rPr>
          <w:rFonts w:ascii="Tahoma" w:hAnsi="Tahoma" w:cs="Tahoma"/>
          <w:sz w:val="22"/>
          <w:szCs w:val="22"/>
          <w:lang w:val="cs-CZ"/>
        </w:rPr>
        <w:t xml:space="preserve">ozpoznání </w:t>
      </w:r>
      <w:r>
        <w:rPr>
          <w:rFonts w:ascii="Tahoma" w:hAnsi="Tahoma" w:cs="Tahoma"/>
          <w:sz w:val="22"/>
          <w:szCs w:val="22"/>
          <w:lang w:val="cs-CZ"/>
        </w:rPr>
        <w:t>značky při zobrazení vizuálu</w:t>
      </w:r>
      <w:r w:rsidR="00EB3FE0">
        <w:rPr>
          <w:rFonts w:ascii="Tahoma" w:hAnsi="Tahoma" w:cs="Tahoma"/>
          <w:sz w:val="22"/>
          <w:szCs w:val="22"/>
          <w:lang w:val="cs-CZ"/>
        </w:rPr>
        <w:t>: 18 % respondentů</w:t>
      </w:r>
    </w:p>
    <w:p w14:paraId="4A120965" w14:textId="77777777" w:rsidR="001D3F18" w:rsidRPr="00EB3FE0" w:rsidRDefault="001D3F18" w:rsidP="001D3F18">
      <w:pPr>
        <w:pStyle w:val="Odstavecseseznamem"/>
        <w:spacing w:line="276" w:lineRule="auto"/>
        <w:ind w:left="1440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64145F71" w14:textId="77777777" w:rsidR="001D3F18" w:rsidRPr="00E95A2D" w:rsidRDefault="001D3F18" w:rsidP="001D3F18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 w:rsidRPr="00E95A2D">
        <w:rPr>
          <w:rFonts w:ascii="Tahoma" w:hAnsi="Tahoma" w:cs="Tahoma"/>
          <w:b/>
          <w:bCs/>
          <w:sz w:val="22"/>
          <w:szCs w:val="22"/>
          <w:lang w:val="cs-CZ"/>
        </w:rPr>
        <w:t xml:space="preserve">Podpořená znalost značky při </w:t>
      </w:r>
      <w:proofErr w:type="spellStart"/>
      <w:r w:rsidRPr="00E95A2D">
        <w:rPr>
          <w:rFonts w:ascii="Tahoma" w:hAnsi="Tahoma" w:cs="Tahoma"/>
          <w:b/>
          <w:bCs/>
          <w:sz w:val="22"/>
          <w:szCs w:val="22"/>
          <w:lang w:val="cs-CZ"/>
        </w:rPr>
        <w:t>bannerové</w:t>
      </w:r>
      <w:proofErr w:type="spellEnd"/>
      <w:r w:rsidRPr="00E95A2D">
        <w:rPr>
          <w:rFonts w:ascii="Tahoma" w:hAnsi="Tahoma" w:cs="Tahoma"/>
          <w:b/>
          <w:bCs/>
          <w:sz w:val="22"/>
          <w:szCs w:val="22"/>
          <w:lang w:val="cs-CZ"/>
        </w:rPr>
        <w:t xml:space="preserve"> online kampani: 8 %</w:t>
      </w:r>
    </w:p>
    <w:p w14:paraId="74641B0E" w14:textId="66A3303B" w:rsidR="00EB3FE0" w:rsidRPr="001D3F18" w:rsidRDefault="001D3F18" w:rsidP="001D3F18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Rozpoznání značky při zobrazení vizuálu</w:t>
      </w:r>
      <w:r>
        <w:rPr>
          <w:rFonts w:ascii="Tahoma" w:hAnsi="Tahoma" w:cs="Tahoma"/>
          <w:sz w:val="22"/>
          <w:szCs w:val="22"/>
          <w:lang w:val="cs-CZ"/>
        </w:rPr>
        <w:t>: 10</w:t>
      </w:r>
      <w:r>
        <w:rPr>
          <w:rFonts w:ascii="Tahoma" w:hAnsi="Tahoma" w:cs="Tahoma"/>
          <w:sz w:val="22"/>
          <w:szCs w:val="22"/>
          <w:lang w:val="cs-CZ"/>
        </w:rPr>
        <w:t xml:space="preserve"> % respondentů</w:t>
      </w:r>
    </w:p>
    <w:p w14:paraId="6BD7E88C" w14:textId="550142B0" w:rsidR="00EB3FE0" w:rsidRDefault="00EB3FE0" w:rsidP="008441C9">
      <w:pPr>
        <w:pStyle w:val="Odstavecseseznamem"/>
        <w:spacing w:line="276" w:lineRule="auto"/>
        <w:ind w:left="1440"/>
        <w:jc w:val="both"/>
        <w:rPr>
          <w:rFonts w:ascii="Tahoma" w:hAnsi="Tahoma" w:cs="Tahoma"/>
          <w:sz w:val="22"/>
          <w:szCs w:val="22"/>
          <w:lang w:val="cs-CZ"/>
        </w:rPr>
      </w:pPr>
    </w:p>
    <w:p w14:paraId="33EAB2BA" w14:textId="42B0341C" w:rsidR="00EB3FE0" w:rsidRDefault="00EB3FE0" w:rsidP="008441C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 w:rsidRPr="00E95A2D">
        <w:rPr>
          <w:rFonts w:ascii="Tahoma" w:hAnsi="Tahoma" w:cs="Tahoma"/>
          <w:b/>
          <w:bCs/>
          <w:sz w:val="22"/>
          <w:szCs w:val="22"/>
          <w:lang w:val="cs-CZ"/>
        </w:rPr>
        <w:t xml:space="preserve">Podpořená znalost značky v rámci CLV kampaně: </w:t>
      </w:r>
      <w:r>
        <w:rPr>
          <w:rFonts w:ascii="Tahoma" w:hAnsi="Tahoma" w:cs="Tahoma"/>
          <w:b/>
          <w:bCs/>
          <w:sz w:val="22"/>
          <w:szCs w:val="22"/>
          <w:lang w:val="cs-CZ"/>
        </w:rPr>
        <w:t>22</w:t>
      </w:r>
      <w:r w:rsidRPr="00E95A2D">
        <w:rPr>
          <w:rFonts w:ascii="Tahoma" w:hAnsi="Tahoma" w:cs="Tahoma"/>
          <w:b/>
          <w:bCs/>
          <w:sz w:val="22"/>
          <w:szCs w:val="22"/>
          <w:lang w:val="cs-CZ"/>
        </w:rPr>
        <w:t xml:space="preserve"> %</w:t>
      </w:r>
    </w:p>
    <w:p w14:paraId="59380751" w14:textId="40153DAA" w:rsidR="00EB3FE0" w:rsidRPr="00EB3FE0" w:rsidRDefault="00EB3FE0" w:rsidP="008441C9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  <w:lang w:val="cs-CZ" w:bidi="ne-NP"/>
        </w:rPr>
      </w:pPr>
      <w:r w:rsidRPr="00EB3FE0">
        <w:rPr>
          <w:rFonts w:ascii="Tahoma" w:hAnsi="Tahoma" w:cs="Tahoma"/>
          <w:sz w:val="22"/>
          <w:szCs w:val="22"/>
          <w:lang w:val="cs-CZ"/>
        </w:rPr>
        <w:t>(</w:t>
      </w:r>
      <w:r w:rsidRPr="00EB3FE0">
        <w:rPr>
          <w:rFonts w:ascii="Tahoma" w:hAnsi="Tahoma" w:cs="Tahoma"/>
          <w:sz w:val="22"/>
          <w:szCs w:val="22"/>
          <w:lang w:val="cs-CZ" w:bidi="ne-NP"/>
        </w:rPr>
        <w:t>Lidé konzumující jogurty min. 3x týdně</w:t>
      </w:r>
      <w:r>
        <w:rPr>
          <w:rFonts w:ascii="Tahoma" w:hAnsi="Tahoma" w:cs="Tahoma"/>
          <w:sz w:val="22"/>
          <w:szCs w:val="22"/>
          <w:lang w:val="cs-CZ" w:bidi="ne-NP"/>
        </w:rPr>
        <w:t xml:space="preserve"> – vyšší relevance cílové skupiny</w:t>
      </w:r>
      <w:r w:rsidRPr="00EB3FE0">
        <w:rPr>
          <w:rFonts w:ascii="Tahoma" w:hAnsi="Tahoma" w:cs="Tahoma"/>
          <w:sz w:val="22"/>
          <w:szCs w:val="22"/>
          <w:lang w:val="cs-CZ" w:bidi="ne-NP"/>
        </w:rPr>
        <w:t>)</w:t>
      </w:r>
    </w:p>
    <w:p w14:paraId="31237C59" w14:textId="3A02920E" w:rsidR="00EB3FE0" w:rsidRPr="00EB3FE0" w:rsidRDefault="00E06979" w:rsidP="008441C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Rozpoznání značky při zobrazení vizuálu: </w:t>
      </w:r>
      <w:r w:rsidR="00EB3FE0">
        <w:rPr>
          <w:rFonts w:ascii="Tahoma" w:hAnsi="Tahoma" w:cs="Tahoma"/>
          <w:sz w:val="22"/>
          <w:szCs w:val="22"/>
          <w:lang w:val="cs-CZ"/>
        </w:rPr>
        <w:t>31 % respondentů</w:t>
      </w:r>
    </w:p>
    <w:p w14:paraId="320BDDD4" w14:textId="3FB9B1E3" w:rsidR="00EB3FE0" w:rsidRPr="00EB3FE0" w:rsidRDefault="00EB3FE0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5D116964" w14:textId="348165B9" w:rsidR="00E95A2D" w:rsidRPr="00E95A2D" w:rsidRDefault="00E95A2D" w:rsidP="008441C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50 % respondentů </w:t>
      </w:r>
      <w:r w:rsidR="00734752">
        <w:rPr>
          <w:rFonts w:ascii="Tahoma" w:hAnsi="Tahoma" w:cs="Tahoma"/>
          <w:sz w:val="22"/>
          <w:szCs w:val="22"/>
          <w:lang w:val="cs-CZ"/>
        </w:rPr>
        <w:t xml:space="preserve">z Brna </w:t>
      </w:r>
      <w:r w:rsidR="00E06979">
        <w:rPr>
          <w:rFonts w:ascii="Tahoma" w:hAnsi="Tahoma" w:cs="Tahoma"/>
          <w:sz w:val="22"/>
          <w:szCs w:val="22"/>
          <w:lang w:val="cs-CZ"/>
        </w:rPr>
        <w:t xml:space="preserve">uvedlo, že </w:t>
      </w:r>
      <w:r>
        <w:rPr>
          <w:rFonts w:ascii="Tahoma" w:hAnsi="Tahoma" w:cs="Tahoma"/>
          <w:sz w:val="22"/>
          <w:szCs w:val="22"/>
          <w:lang w:val="cs-CZ"/>
        </w:rPr>
        <w:t xml:space="preserve">zaznamenalo kampaň na jogurty Karkulka </w:t>
      </w:r>
      <w:r w:rsidR="00E06979">
        <w:rPr>
          <w:rFonts w:ascii="Tahoma" w:hAnsi="Tahoma" w:cs="Tahoma"/>
          <w:sz w:val="22"/>
          <w:szCs w:val="22"/>
          <w:lang w:val="cs-CZ"/>
        </w:rPr>
        <w:t xml:space="preserve">právě </w:t>
      </w:r>
      <w:r>
        <w:rPr>
          <w:rFonts w:ascii="Tahoma" w:hAnsi="Tahoma" w:cs="Tahoma"/>
          <w:sz w:val="22"/>
          <w:szCs w:val="22"/>
          <w:lang w:val="cs-CZ"/>
        </w:rPr>
        <w:t xml:space="preserve">na venkovních reklamních nosičích </w:t>
      </w:r>
    </w:p>
    <w:p w14:paraId="4D0EE302" w14:textId="3FACA4D2" w:rsidR="00EB3FE0" w:rsidRPr="00EB3FE0" w:rsidRDefault="00E95A2D" w:rsidP="008441C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60 % z nich korektně popsalo komunikovaný vizuál</w:t>
      </w:r>
    </w:p>
    <w:p w14:paraId="765010C5" w14:textId="77777777" w:rsidR="00EB3FE0" w:rsidRPr="00EB3FE0" w:rsidRDefault="00EB3FE0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281E1AFA" w14:textId="69C87E97" w:rsidR="001D3F18" w:rsidRDefault="00734752" w:rsidP="001D3F18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Samozřejmě v</w:t>
      </w:r>
      <w:r w:rsidR="001D3F18" w:rsidRPr="007109E2">
        <w:rPr>
          <w:rFonts w:ascii="Tahoma" w:hAnsi="Tahoma" w:cs="Tahoma"/>
          <w:sz w:val="22"/>
          <w:szCs w:val="22"/>
          <w:lang w:val="cs-CZ"/>
        </w:rPr>
        <w:t xml:space="preserve">ýsledky obou kampaní je nutno </w:t>
      </w:r>
      <w:r>
        <w:rPr>
          <w:rFonts w:ascii="Tahoma" w:hAnsi="Tahoma" w:cs="Tahoma"/>
          <w:sz w:val="22"/>
          <w:szCs w:val="22"/>
          <w:lang w:val="cs-CZ"/>
        </w:rPr>
        <w:t xml:space="preserve">primárně </w:t>
      </w:r>
      <w:r w:rsidR="001D3F18" w:rsidRPr="007109E2">
        <w:rPr>
          <w:rFonts w:ascii="Tahoma" w:hAnsi="Tahoma" w:cs="Tahoma"/>
          <w:sz w:val="22"/>
          <w:szCs w:val="22"/>
          <w:lang w:val="cs-CZ"/>
        </w:rPr>
        <w:t xml:space="preserve">vztáhnout k proinvestovaným prostředkům a spočítat jejich cenovou efektivitu. Online kampaň </w:t>
      </w:r>
      <w:r w:rsidR="001D3F18">
        <w:rPr>
          <w:rFonts w:ascii="Tahoma" w:hAnsi="Tahoma" w:cs="Tahoma"/>
          <w:sz w:val="22"/>
          <w:szCs w:val="22"/>
          <w:lang w:val="cs-CZ"/>
        </w:rPr>
        <w:t xml:space="preserve">jako taková </w:t>
      </w:r>
      <w:r w:rsidR="001D3F18" w:rsidRPr="007109E2">
        <w:rPr>
          <w:rFonts w:ascii="Tahoma" w:hAnsi="Tahoma" w:cs="Tahoma"/>
          <w:sz w:val="22"/>
          <w:szCs w:val="22"/>
          <w:lang w:val="cs-CZ"/>
        </w:rPr>
        <w:t xml:space="preserve">byla v klientských cenách zhruba o 7 % levnější než CLV, </w:t>
      </w:r>
      <w:r w:rsidR="001D3F18" w:rsidRPr="001D3F18">
        <w:rPr>
          <w:rFonts w:ascii="Tahoma" w:hAnsi="Tahoma" w:cs="Tahoma"/>
          <w:b/>
          <w:sz w:val="22"/>
          <w:szCs w:val="22"/>
          <w:lang w:val="cs-CZ"/>
        </w:rPr>
        <w:t>nicméně v okamžiku, kdy náklady rozpočítáme na výslednou znalost značky, byla CLV kampaň o celých 28 % efektivnější než online kampaň</w:t>
      </w:r>
      <w:r w:rsidR="001D3F18" w:rsidRPr="007109E2">
        <w:rPr>
          <w:rFonts w:ascii="Tahoma" w:hAnsi="Tahoma" w:cs="Tahoma"/>
          <w:sz w:val="22"/>
          <w:szCs w:val="22"/>
          <w:lang w:val="cs-CZ"/>
        </w:rPr>
        <w:t>.</w:t>
      </w:r>
    </w:p>
    <w:p w14:paraId="6E858BF3" w14:textId="77777777" w:rsidR="007109E2" w:rsidRPr="001D3F18" w:rsidRDefault="007109E2" w:rsidP="001D3F18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0EA32304" w14:textId="23830B6C" w:rsidR="007109E2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</w:p>
    <w:p w14:paraId="65F2DB25" w14:textId="0E1EAC22" w:rsidR="007109E2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bookmarkStart w:id="0" w:name="_GoBack"/>
      <w:bookmarkEnd w:id="0"/>
    </w:p>
    <w:p w14:paraId="49BE5983" w14:textId="2744C430" w:rsidR="007109E2" w:rsidRDefault="002E1CA9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hyperlink r:id="rId9" w:history="1">
        <w:r w:rsidR="007109E2" w:rsidRPr="00260988">
          <w:rPr>
            <w:rStyle w:val="Hypertextovodkaz"/>
            <w:rFonts w:ascii="Tahoma" w:hAnsi="Tahoma" w:cs="Tahoma"/>
            <w:sz w:val="22"/>
            <w:szCs w:val="22"/>
            <w:lang w:val="cs-CZ"/>
          </w:rPr>
          <w:t>www.euroawk.cz</w:t>
        </w:r>
      </w:hyperlink>
      <w:r w:rsidR="007109E2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706C34B0" w14:textId="022E3F0C" w:rsidR="007109E2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</w:p>
    <w:p w14:paraId="47E670A6" w14:textId="77777777" w:rsidR="007109E2" w:rsidRPr="007109E2" w:rsidRDefault="007109E2" w:rsidP="008441C9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Tahoma" w:eastAsia="Arial" w:hAnsi="Tahoma" w:cs="Tahoma"/>
          <w:color w:val="000000"/>
          <w:sz w:val="20"/>
          <w:szCs w:val="20"/>
          <w:bdr w:val="nil"/>
          <w:lang w:bidi="ar-SA"/>
        </w:rPr>
      </w:pPr>
      <w:r w:rsidRPr="007109E2">
        <w:rPr>
          <w:rFonts w:ascii="Tahoma" w:eastAsia="Arial" w:hAnsi="Tahoma" w:cs="Tahoma"/>
          <w:color w:val="000000"/>
          <w:sz w:val="20"/>
          <w:szCs w:val="20"/>
          <w:bdr w:val="nil"/>
          <w:lang w:bidi="ar-SA"/>
        </w:rPr>
        <w:t>Společnost euroAWK se řadí k lídrům trhu s venkovní reklamou v České republice. Je členem mezinárodní skupiny Freund Holding a AWK se sídlem v německém městě Koblenz a řadí se k největším poskytovatelům venkovní reklamy v Evropě. euroAWK má k dispozici portfolio s více než 80 000 reklamními nosiči v Německu a dalšími 20 000 vlastními reklamními nosiči v České republice, na Slovensku a v Maďarsku.</w:t>
      </w:r>
    </w:p>
    <w:p w14:paraId="27197D68" w14:textId="77777777" w:rsidR="007109E2" w:rsidRDefault="007109E2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5571A486" w14:textId="4C72D97D" w:rsidR="007109E2" w:rsidRDefault="007109E2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6D0E80A6" w14:textId="77777777" w:rsidR="008441C9" w:rsidRDefault="008441C9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</w:p>
    <w:p w14:paraId="4335739F" w14:textId="594BAD03" w:rsidR="007109E2" w:rsidRPr="007109E2" w:rsidRDefault="007109E2" w:rsidP="008441C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 w:rsidRPr="007109E2">
        <w:rPr>
          <w:rFonts w:ascii="Tahoma" w:hAnsi="Tahoma" w:cs="Tahoma"/>
          <w:b/>
          <w:bCs/>
          <w:sz w:val="22"/>
          <w:szCs w:val="22"/>
          <w:lang w:val="cs-CZ"/>
        </w:rPr>
        <w:t>Kontakt pro média:</w:t>
      </w:r>
    </w:p>
    <w:p w14:paraId="364B14E0" w14:textId="32F0A4F8" w:rsidR="007109E2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Michal Peterka</w:t>
      </w:r>
    </w:p>
    <w:p w14:paraId="54F58786" w14:textId="40D2EB36" w:rsidR="007109E2" w:rsidRDefault="007109E2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2020 Communications s.r.o.</w:t>
      </w:r>
    </w:p>
    <w:p w14:paraId="76965134" w14:textId="29359758" w:rsidR="007109E2" w:rsidRDefault="002E1CA9" w:rsidP="008441C9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hyperlink r:id="rId10" w:history="1">
        <w:r w:rsidR="007109E2" w:rsidRPr="00260988">
          <w:rPr>
            <w:rStyle w:val="Hypertextovodkaz"/>
            <w:rFonts w:ascii="Tahoma" w:hAnsi="Tahoma" w:cs="Tahoma"/>
            <w:sz w:val="22"/>
            <w:szCs w:val="22"/>
            <w:lang w:val="cs-CZ"/>
          </w:rPr>
          <w:t>mpeterka@mediatrust.cz</w:t>
        </w:r>
      </w:hyperlink>
    </w:p>
    <w:p w14:paraId="5D00275C" w14:textId="25ECCA8F" w:rsidR="00166E75" w:rsidRPr="007109E2" w:rsidRDefault="007109E2" w:rsidP="00E06979">
      <w:pPr>
        <w:spacing w:line="276" w:lineRule="auto"/>
        <w:jc w:val="both"/>
        <w:rPr>
          <w:rFonts w:eastAsia="Arial Unicode MS" w:cs="Arial Unicode MS"/>
          <w:color w:val="0D0D0D"/>
          <w:u w:color="0D0D0D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+420 603 556 404</w:t>
      </w:r>
    </w:p>
    <w:sectPr w:rsidR="00166E75" w:rsidRPr="007109E2">
      <w:headerReference w:type="default" r:id="rId11"/>
      <w:footerReference w:type="default" r:id="rId12"/>
      <w:pgSz w:w="11900" w:h="16840"/>
      <w:pgMar w:top="1532" w:right="1134" w:bottom="1134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B641C" w14:textId="77777777" w:rsidR="002E1CA9" w:rsidRDefault="002E1CA9">
      <w:r>
        <w:separator/>
      </w:r>
    </w:p>
  </w:endnote>
  <w:endnote w:type="continuationSeparator" w:id="0">
    <w:p w14:paraId="3FF16E47" w14:textId="77777777" w:rsidR="002E1CA9" w:rsidRDefault="002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5F054" w14:textId="77777777" w:rsidR="007109E2" w:rsidRPr="007109E2" w:rsidRDefault="007109E2">
    <w:pPr>
      <w:pStyle w:val="Zpat"/>
      <w:tabs>
        <w:tab w:val="clear" w:pos="4536"/>
        <w:tab w:val="clear" w:pos="9072"/>
        <w:tab w:val="center" w:pos="2182"/>
        <w:tab w:val="right" w:pos="2412"/>
      </w:tabs>
      <w:ind w:right="360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B2EC3" w14:textId="77777777" w:rsidR="002E1CA9" w:rsidRDefault="002E1CA9">
      <w:r>
        <w:separator/>
      </w:r>
    </w:p>
  </w:footnote>
  <w:footnote w:type="continuationSeparator" w:id="0">
    <w:p w14:paraId="7D4D6ED2" w14:textId="77777777" w:rsidR="002E1CA9" w:rsidRDefault="002E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1E8E6" w14:textId="1DE54F5D" w:rsidR="0026117E" w:rsidRDefault="00200BDF">
    <w:pPr>
      <w:pStyle w:val="Zhlav"/>
    </w:pPr>
    <w:r>
      <w:rPr>
        <w:noProof/>
        <w:lang w:val="cs-CZ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7CF83D7" wp14:editId="0F019CA9">
              <wp:simplePos x="0" y="0"/>
              <wp:positionH relativeFrom="page">
                <wp:posOffset>9488805</wp:posOffset>
              </wp:positionH>
              <wp:positionV relativeFrom="page">
                <wp:posOffset>10070465</wp:posOffset>
              </wp:positionV>
              <wp:extent cx="306071" cy="4762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71" cy="476250"/>
                      </a:xfrm>
                      <a:prstGeom prst="rect">
                        <a:avLst/>
                      </a:prstGeom>
                      <a:solidFill>
                        <a:srgbClr val="B01107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6" style="visibility:visible;position:absolute;margin-left:747.2pt;margin-top:793.0pt;width:24.1pt;height:37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B01107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cs-CZ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7C53712" wp14:editId="7383EE0F">
              <wp:simplePos x="0" y="0"/>
              <wp:positionH relativeFrom="page">
                <wp:posOffset>671193</wp:posOffset>
              </wp:positionH>
              <wp:positionV relativeFrom="page">
                <wp:posOffset>10107295</wp:posOffset>
              </wp:positionV>
              <wp:extent cx="6172203" cy="0"/>
              <wp:effectExtent l="0" t="0" r="0" b="0"/>
              <wp:wrapNone/>
              <wp:docPr id="107374182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C0C0C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41350E" id="officeArt object" o:spid="_x0000_s1026" alt="officeArt object" style="position:absolute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2.85pt,795.85pt" to="538.85pt,7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" strokecolor="silver">
              <w10:wrap anchorx="page" anchory="page"/>
            </v:line>
          </w:pict>
        </mc:Fallback>
      </mc:AlternateContent>
    </w:r>
    <w:r>
      <w:rPr>
        <w:noProof/>
        <w:lang w:val="cs-CZ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F03863" wp14:editId="40B00E8C">
              <wp:simplePos x="0" y="0"/>
              <wp:positionH relativeFrom="page">
                <wp:posOffset>9488805</wp:posOffset>
              </wp:positionH>
              <wp:positionV relativeFrom="page">
                <wp:posOffset>10070465</wp:posOffset>
              </wp:positionV>
              <wp:extent cx="306071" cy="476250"/>
              <wp:effectExtent l="0" t="0" r="0" b="0"/>
              <wp:wrapNone/>
              <wp:docPr id="107374182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71" cy="476250"/>
                      </a:xfrm>
                      <a:prstGeom prst="rect">
                        <a:avLst/>
                      </a:prstGeom>
                      <a:solidFill>
                        <a:srgbClr val="B01107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747.2pt;margin-top:793.0pt;width:24.1pt;height:37.5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B01107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  <w:p w14:paraId="37B087B6" w14:textId="77777777" w:rsidR="0026117E" w:rsidRDefault="00200BDF">
    <w:pPr>
      <w:pStyle w:val="Zhlav"/>
      <w:jc w:val="right"/>
    </w:pPr>
    <w:r>
      <w:rPr>
        <w:noProof/>
        <w:lang w:val="cs-CZ"/>
      </w:rPr>
      <w:drawing>
        <wp:inline distT="0" distB="0" distL="0" distR="0" wp14:anchorId="5F5484DF" wp14:editId="64A36C4A">
          <wp:extent cx="2139780" cy="787400"/>
          <wp:effectExtent l="0" t="0" r="0" b="0"/>
          <wp:docPr id="1073741825" name="officeArt object" descr="euroawk 22 - Borovan.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uroawk 22 - Borovan.cz" descr="euroawk 22 - Borovan.cz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958" cy="7918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6EC0"/>
    <w:multiLevelType w:val="hybridMultilevel"/>
    <w:tmpl w:val="DD98BE64"/>
    <w:lvl w:ilvl="0" w:tplc="1EA62C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6176A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A46AB0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0125E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8E5A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E3B0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861546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CBBE8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E2F4C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D93844"/>
    <w:multiLevelType w:val="hybridMultilevel"/>
    <w:tmpl w:val="DD98BE64"/>
    <w:lvl w:ilvl="0" w:tplc="1EA62C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6176A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A46AB0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0125E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8E5A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E3B0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861546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CBBE8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E2F4C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FD5B29"/>
    <w:multiLevelType w:val="hybridMultilevel"/>
    <w:tmpl w:val="FDF0A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06F49"/>
    <w:multiLevelType w:val="hybridMultilevel"/>
    <w:tmpl w:val="FAF669E0"/>
    <w:lvl w:ilvl="0" w:tplc="1EA62C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6176A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A46AB0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0125E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8E5A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E3B0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861546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CBBE8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E2F4C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FA1130D"/>
    <w:multiLevelType w:val="hybridMultilevel"/>
    <w:tmpl w:val="2BA4BDB0"/>
    <w:lvl w:ilvl="0" w:tplc="934A053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2FE62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CA2C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4C612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465730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8AEF6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B68AEC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9A25A0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276F6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0DC1FA6"/>
    <w:multiLevelType w:val="hybridMultilevel"/>
    <w:tmpl w:val="347E4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A37D2"/>
    <w:multiLevelType w:val="hybridMultilevel"/>
    <w:tmpl w:val="4CFCCEC4"/>
    <w:styleLink w:val="Importovanstyl1"/>
    <w:lvl w:ilvl="0" w:tplc="AE58DD8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E3AE2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1C4886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BE0F30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EC2C6E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01436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D4E69A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72BD3E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A04EF6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653484E"/>
    <w:multiLevelType w:val="hybridMultilevel"/>
    <w:tmpl w:val="4CFCC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1CE4642"/>
    <w:multiLevelType w:val="hybridMultilevel"/>
    <w:tmpl w:val="4CFCCEC4"/>
    <w:numStyleLink w:val="Importovanstyl1"/>
  </w:abstractNum>
  <w:abstractNum w:abstractNumId="9" w15:restartNumberingAfterBreak="0">
    <w:nsid w:val="763C1E37"/>
    <w:multiLevelType w:val="hybridMultilevel"/>
    <w:tmpl w:val="4CFCCEC4"/>
    <w:lvl w:ilvl="0" w:tplc="1EA62C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6176A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A46AB0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0125E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8E5A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E3B0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861546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CBBE8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E2F4C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8966D70"/>
    <w:multiLevelType w:val="hybridMultilevel"/>
    <w:tmpl w:val="D054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D92170A"/>
    <w:multiLevelType w:val="hybridMultilevel"/>
    <w:tmpl w:val="01F6BB82"/>
    <w:lvl w:ilvl="0" w:tplc="1EA62C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6176A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A46AB0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0125E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8E5A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E3B0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861546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CBBE8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E2F4C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7E"/>
    <w:rsid w:val="00040D77"/>
    <w:rsid w:val="00041978"/>
    <w:rsid w:val="00052055"/>
    <w:rsid w:val="00054159"/>
    <w:rsid w:val="00085AB5"/>
    <w:rsid w:val="000B45C9"/>
    <w:rsid w:val="000C7194"/>
    <w:rsid w:val="00112633"/>
    <w:rsid w:val="001226D4"/>
    <w:rsid w:val="00166E75"/>
    <w:rsid w:val="001C4C4B"/>
    <w:rsid w:val="001C4D56"/>
    <w:rsid w:val="001D116D"/>
    <w:rsid w:val="001D3F18"/>
    <w:rsid w:val="00200BDF"/>
    <w:rsid w:val="002450F8"/>
    <w:rsid w:val="00254FE7"/>
    <w:rsid w:val="0026117E"/>
    <w:rsid w:val="0029678C"/>
    <w:rsid w:val="002E1CA9"/>
    <w:rsid w:val="002F69D9"/>
    <w:rsid w:val="00363FEB"/>
    <w:rsid w:val="00373B17"/>
    <w:rsid w:val="003A0838"/>
    <w:rsid w:val="003B40CA"/>
    <w:rsid w:val="003E5B32"/>
    <w:rsid w:val="003F06E6"/>
    <w:rsid w:val="004161AE"/>
    <w:rsid w:val="004A21C6"/>
    <w:rsid w:val="004E15C4"/>
    <w:rsid w:val="00520DC5"/>
    <w:rsid w:val="005B38F4"/>
    <w:rsid w:val="005D20F0"/>
    <w:rsid w:val="005F196F"/>
    <w:rsid w:val="006372E6"/>
    <w:rsid w:val="00686A56"/>
    <w:rsid w:val="006E3EA0"/>
    <w:rsid w:val="007109E2"/>
    <w:rsid w:val="007309E7"/>
    <w:rsid w:val="00734752"/>
    <w:rsid w:val="00787C64"/>
    <w:rsid w:val="00790EEC"/>
    <w:rsid w:val="00791EDC"/>
    <w:rsid w:val="007C78E9"/>
    <w:rsid w:val="007D59AF"/>
    <w:rsid w:val="007F54F4"/>
    <w:rsid w:val="00807E2E"/>
    <w:rsid w:val="008101E1"/>
    <w:rsid w:val="0083114A"/>
    <w:rsid w:val="008339AF"/>
    <w:rsid w:val="00844132"/>
    <w:rsid w:val="008441C9"/>
    <w:rsid w:val="008A44E2"/>
    <w:rsid w:val="008A5A88"/>
    <w:rsid w:val="008F1236"/>
    <w:rsid w:val="00916F56"/>
    <w:rsid w:val="009862C7"/>
    <w:rsid w:val="009B0109"/>
    <w:rsid w:val="00A04E2F"/>
    <w:rsid w:val="00A113FA"/>
    <w:rsid w:val="00A578CD"/>
    <w:rsid w:val="00A74F47"/>
    <w:rsid w:val="00A81C69"/>
    <w:rsid w:val="00AC4496"/>
    <w:rsid w:val="00AD4488"/>
    <w:rsid w:val="00B150B8"/>
    <w:rsid w:val="00B26CDB"/>
    <w:rsid w:val="00B43C61"/>
    <w:rsid w:val="00B74053"/>
    <w:rsid w:val="00C274AA"/>
    <w:rsid w:val="00C307D4"/>
    <w:rsid w:val="00CD2A92"/>
    <w:rsid w:val="00D106C4"/>
    <w:rsid w:val="00D21AFC"/>
    <w:rsid w:val="00DE7223"/>
    <w:rsid w:val="00E06979"/>
    <w:rsid w:val="00E217D8"/>
    <w:rsid w:val="00E217EA"/>
    <w:rsid w:val="00E21C60"/>
    <w:rsid w:val="00E60F48"/>
    <w:rsid w:val="00E95A2D"/>
    <w:rsid w:val="00EB3FE0"/>
    <w:rsid w:val="00EC3A63"/>
    <w:rsid w:val="00F376CF"/>
    <w:rsid w:val="00F603AC"/>
    <w:rsid w:val="00F71770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B943"/>
  <w15:docId w15:val="{FD113B47-8082-46EF-A6BD-EBA4F937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6E75"/>
    <w:pPr>
      <w:widowControl w:val="0"/>
    </w:pPr>
    <w:rPr>
      <w:rFonts w:ascii="Arial" w:eastAsia="Arial" w:hAnsi="Arial" w:cs="Arial"/>
      <w:color w:val="000000"/>
      <w:sz w:val="24"/>
      <w:szCs w:val="24"/>
      <w:u w:color="000000"/>
      <w:lang w:val="de-DE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widowControl w:val="0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  <w:lang w:val="de-DE"/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  <w:lang w:val="de-DE"/>
    </w:rPr>
  </w:style>
  <w:style w:type="paragraph" w:styleId="Odstavecseseznamem">
    <w:name w:val="List Paragraph"/>
    <w:pPr>
      <w:widowControl w:val="0"/>
      <w:ind w:left="720"/>
    </w:pPr>
    <w:rPr>
      <w:rFonts w:ascii="Arial" w:hAnsi="Arial" w:cs="Arial Unicode MS"/>
      <w:color w:val="000000"/>
      <w:sz w:val="24"/>
      <w:szCs w:val="24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Hyperlink0">
    <w:name w:val="Hyperlink.0"/>
    <w:basedOn w:val="Hypertextovodkaz"/>
    <w:rPr>
      <w:color w:val="0000FF"/>
      <w:u w:val="single" w:color="0000FF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VchozA">
    <w:name w:val="Výchozí A"/>
    <w:pPr>
      <w:widowControl w:val="0"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Hyperlink00">
    <w:name w:val="Hyperlink.0.0"/>
    <w:rPr>
      <w:color w:val="0000FF"/>
      <w:u w:val="single" w:color="0000FF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78E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43C61"/>
    <w:rPr>
      <w:rFonts w:ascii="Arial" w:hAnsi="Arial" w:cs="Arial Unicode MS"/>
      <w:b/>
      <w:bCs/>
      <w:color w:val="000000"/>
      <w:sz w:val="28"/>
      <w:szCs w:val="28"/>
      <w:u w:color="000000"/>
      <w:lang w:val="de-DE"/>
    </w:rPr>
  </w:style>
  <w:style w:type="paragraph" w:styleId="Normlnweb">
    <w:name w:val="Normal (Web)"/>
    <w:basedOn w:val="Normln"/>
    <w:uiPriority w:val="99"/>
    <w:semiHidden/>
    <w:unhideWhenUsed/>
    <w:rsid w:val="007109E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cs-CZ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peterka@mediatrus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aw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A917-E9F2-40D3-A842-5D2BEFF8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Aleš Jeřábek</cp:lastModifiedBy>
  <cp:revision>5</cp:revision>
  <dcterms:created xsi:type="dcterms:W3CDTF">2021-11-22T09:13:00Z</dcterms:created>
  <dcterms:modified xsi:type="dcterms:W3CDTF">2021-11-22T09:47:00Z</dcterms:modified>
</cp:coreProperties>
</file>